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0" w:firstLineChars="0"/>
        <w:jc w:val="left"/>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附件5：</w:t>
      </w:r>
    </w:p>
    <w:p>
      <w:pPr>
        <w:widowControl/>
        <w:spacing w:line="640" w:lineRule="exact"/>
        <w:jc w:val="both"/>
        <w:rPr>
          <w:rFonts w:hint="default" w:ascii="Times New Roman" w:hAnsi="Times New Roman" w:eastAsia="方正小标宋简体" w:cs="Times New Roman"/>
          <w:sz w:val="44"/>
          <w:szCs w:val="32"/>
          <w:lang w:val="en-US" w:eastAsia="zh-CN"/>
        </w:rPr>
      </w:pPr>
    </w:p>
    <w:p>
      <w:pPr>
        <w:widowControl/>
        <w:spacing w:line="640" w:lineRule="exact"/>
        <w:jc w:val="center"/>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sz w:val="44"/>
          <w:szCs w:val="32"/>
          <w:lang w:val="en-US" w:eastAsia="zh-CN"/>
        </w:rPr>
        <w:t>关于举办</w:t>
      </w:r>
      <w:r>
        <w:rPr>
          <w:rFonts w:hint="default" w:ascii="Times New Roman" w:hAnsi="Times New Roman" w:eastAsia="方正小标宋简体" w:cs="Times New Roman"/>
          <w:kern w:val="0"/>
          <w:sz w:val="44"/>
          <w:szCs w:val="44"/>
        </w:rPr>
        <w:t>“青创北京”202</w:t>
      </w:r>
      <w:r>
        <w:rPr>
          <w:rFonts w:hint="default" w:ascii="Times New Roman" w:hAnsi="Times New Roman"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rPr>
        <w:t>年“挑战杯”首都大学生创业计划竞赛“青系四海”</w:t>
      </w:r>
      <w:r>
        <w:rPr>
          <w:rFonts w:hint="default" w:ascii="Times New Roman" w:hAnsi="Times New Roman" w:eastAsia="方正小标宋简体" w:cs="Times New Roman"/>
          <w:kern w:val="0"/>
          <w:sz w:val="44"/>
          <w:szCs w:val="44"/>
          <w:lang w:val="en-US" w:eastAsia="zh-CN"/>
        </w:rPr>
        <w:t>国际</w:t>
      </w:r>
    </w:p>
    <w:p>
      <w:pPr>
        <w:widowControl/>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交流交往</w:t>
      </w:r>
      <w:r>
        <w:rPr>
          <w:rFonts w:hint="default" w:ascii="Times New Roman" w:hAnsi="Times New Roman" w:eastAsia="方正小标宋简体" w:cs="Times New Roman"/>
          <w:kern w:val="0"/>
          <w:sz w:val="44"/>
          <w:szCs w:val="44"/>
        </w:rPr>
        <w:t>专项赛</w:t>
      </w:r>
      <w:r>
        <w:rPr>
          <w:rFonts w:hint="default" w:ascii="Times New Roman" w:hAnsi="Times New Roman" w:eastAsia="方正小标宋简体" w:cs="Times New Roman"/>
          <w:kern w:val="0"/>
          <w:sz w:val="44"/>
          <w:szCs w:val="44"/>
          <w:lang w:val="en-US" w:eastAsia="zh-CN"/>
        </w:rPr>
        <w:t>的</w:t>
      </w:r>
      <w:r>
        <w:rPr>
          <w:rFonts w:hint="default" w:ascii="Times New Roman" w:hAnsi="Times New Roman" w:eastAsia="方正小标宋简体" w:cs="Times New Roman"/>
          <w:kern w:val="0"/>
          <w:sz w:val="44"/>
          <w:szCs w:val="44"/>
        </w:rPr>
        <w:t>通知</w:t>
      </w:r>
    </w:p>
    <w:p>
      <w:pPr>
        <w:spacing w:line="560" w:lineRule="exact"/>
        <w:rPr>
          <w:rFonts w:hint="default" w:ascii="Times New Roman" w:hAnsi="Times New Roman" w:eastAsia="仿宋_GB2312" w:cs="Times New Roman"/>
          <w:bCs/>
          <w:sz w:val="32"/>
          <w:szCs w:val="32"/>
        </w:rPr>
      </w:pPr>
    </w:p>
    <w:p>
      <w:pPr>
        <w:adjustRightInd w:val="0"/>
        <w:snapToGrid w:val="0"/>
        <w:spacing w:line="560" w:lineRule="exac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eastAsia="zh-CN"/>
        </w:rPr>
        <w:t>各高等院校、中等专业学校团委：</w:t>
      </w:r>
    </w:p>
    <w:p>
      <w:pPr>
        <w:adjustRightInd w:val="0"/>
        <w:snapToGrid w:val="0"/>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现拟在“青创北京”202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年“挑战杯”首都大学生创业计划竞赛框架下举办“青系四海”</w:t>
      </w:r>
      <w:r>
        <w:rPr>
          <w:rFonts w:hint="default" w:ascii="Times New Roman" w:hAnsi="Times New Roman" w:eastAsia="仿宋_GB2312" w:cs="Times New Roman"/>
          <w:bCs/>
          <w:sz w:val="32"/>
          <w:szCs w:val="32"/>
          <w:highlight w:val="none"/>
          <w:lang w:val="en-US" w:eastAsia="zh-CN"/>
        </w:rPr>
        <w:t>国际交往</w:t>
      </w:r>
      <w:r>
        <w:rPr>
          <w:rFonts w:hint="default" w:ascii="Times New Roman" w:hAnsi="Times New Roman" w:eastAsia="仿宋_GB2312" w:cs="Times New Roman"/>
          <w:bCs/>
          <w:sz w:val="32"/>
          <w:szCs w:val="32"/>
          <w:highlight w:val="none"/>
        </w:rPr>
        <w:t>专项赛，</w:t>
      </w:r>
      <w:r>
        <w:rPr>
          <w:rFonts w:hint="default" w:ascii="Times New Roman" w:hAnsi="Times New Roman" w:eastAsia="仿宋_GB2312" w:cs="Times New Roman"/>
          <w:bCs/>
          <w:sz w:val="32"/>
          <w:szCs w:val="32"/>
          <w:highlight w:val="none"/>
          <w:lang w:val="en-US" w:eastAsia="zh-CN"/>
        </w:rPr>
        <w:t>现将</w:t>
      </w:r>
      <w:r>
        <w:rPr>
          <w:rFonts w:hint="default" w:ascii="Times New Roman" w:hAnsi="Times New Roman" w:eastAsia="仿宋_GB2312" w:cs="Times New Roman"/>
          <w:bCs/>
          <w:sz w:val="32"/>
          <w:szCs w:val="32"/>
          <w:highlight w:val="none"/>
        </w:rPr>
        <w:t>有关事宜通知如下。</w:t>
      </w:r>
    </w:p>
    <w:p>
      <w:pPr>
        <w:adjustRightInd w:val="0"/>
        <w:snapToGrid w:val="0"/>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一、办赛理念</w:t>
      </w:r>
    </w:p>
    <w:p>
      <w:pPr>
        <w:adjustRightInd w:val="0"/>
        <w:snapToGrid w:val="0"/>
        <w:spacing w:line="56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为深入学习贯彻习近平总书记关于首都城市战略定位的重要指示要求，</w:t>
      </w:r>
      <w:r>
        <w:rPr>
          <w:rFonts w:hint="default" w:ascii="Times New Roman" w:hAnsi="Times New Roman" w:eastAsia="仿宋_GB2312" w:cs="Times New Roman"/>
          <w:bCs/>
          <w:sz w:val="32"/>
          <w:szCs w:val="32"/>
          <w:highlight w:val="none"/>
          <w:lang w:val="en-US" w:eastAsia="zh-CN"/>
        </w:rPr>
        <w:t>为</w:t>
      </w:r>
      <w:r>
        <w:rPr>
          <w:rFonts w:hint="default" w:ascii="Times New Roman" w:hAnsi="Times New Roman" w:eastAsia="仿宋_GB2312" w:cs="Times New Roman"/>
          <w:bCs/>
          <w:sz w:val="32"/>
          <w:szCs w:val="32"/>
          <w:highlight w:val="none"/>
        </w:rPr>
        <w:t>共建“一带一路”贡献青年智慧，推动构建人类命运共同体</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进一步促进</w:t>
      </w:r>
      <w:r>
        <w:rPr>
          <w:rFonts w:hint="default" w:ascii="Times New Roman" w:hAnsi="Times New Roman" w:eastAsia="仿宋_GB2312" w:cs="Times New Roman"/>
          <w:bCs/>
          <w:sz w:val="32"/>
          <w:szCs w:val="32"/>
          <w:highlight w:val="none"/>
        </w:rPr>
        <w:t>区域合作</w:t>
      </w:r>
      <w:r>
        <w:rPr>
          <w:rFonts w:hint="default" w:ascii="Times New Roman" w:hAnsi="Times New Roman" w:eastAsia="仿宋_GB2312" w:cs="Times New Roman"/>
          <w:bCs/>
          <w:sz w:val="32"/>
          <w:szCs w:val="32"/>
          <w:highlight w:val="none"/>
          <w:lang w:val="en-US" w:eastAsia="zh-CN"/>
        </w:rPr>
        <w:t>发展</w:t>
      </w:r>
      <w:r>
        <w:rPr>
          <w:rFonts w:hint="default" w:ascii="Times New Roman" w:hAnsi="Times New Roman" w:eastAsia="仿宋_GB2312" w:cs="Times New Roman"/>
          <w:bCs/>
          <w:sz w:val="32"/>
          <w:szCs w:val="32"/>
          <w:highlight w:val="none"/>
        </w:rPr>
        <w:t>，举办“青创北京”202</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年“挑战杯”首都大学生创业计划竞赛“青系四海”国际</w:t>
      </w:r>
      <w:r>
        <w:rPr>
          <w:rFonts w:hint="default" w:ascii="Times New Roman" w:hAnsi="Times New Roman" w:eastAsia="仿宋_GB2312" w:cs="Times New Roman"/>
          <w:bCs/>
          <w:sz w:val="32"/>
          <w:szCs w:val="32"/>
          <w:highlight w:val="none"/>
          <w:lang w:val="en-US" w:eastAsia="zh-CN"/>
        </w:rPr>
        <w:t>交流</w:t>
      </w:r>
      <w:r>
        <w:rPr>
          <w:rFonts w:hint="default" w:ascii="Times New Roman" w:hAnsi="Times New Roman" w:eastAsia="仿宋_GB2312" w:cs="Times New Roman"/>
          <w:bCs/>
          <w:sz w:val="32"/>
          <w:szCs w:val="32"/>
          <w:highlight w:val="none"/>
        </w:rPr>
        <w:t>交往专项赛</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本专项赛</w:t>
      </w:r>
      <w:r>
        <w:rPr>
          <w:rFonts w:hint="default" w:ascii="Times New Roman" w:hAnsi="Times New Roman" w:eastAsia="仿宋_GB2312" w:cs="Times New Roman"/>
          <w:bCs/>
          <w:sz w:val="32"/>
          <w:szCs w:val="32"/>
          <w:highlight w:val="none"/>
        </w:rPr>
        <w:t>旨在组织动员和凝聚</w:t>
      </w:r>
      <w:r>
        <w:rPr>
          <w:rFonts w:hint="default" w:ascii="Times New Roman" w:hAnsi="Times New Roman" w:eastAsia="仿宋_GB2312" w:cs="Times New Roman"/>
          <w:bCs/>
          <w:sz w:val="32"/>
          <w:szCs w:val="32"/>
          <w:highlight w:val="none"/>
          <w:lang w:val="en-US" w:eastAsia="zh-CN"/>
        </w:rPr>
        <w:t>青年</w:t>
      </w:r>
      <w:r>
        <w:rPr>
          <w:rFonts w:hint="default" w:ascii="Times New Roman" w:hAnsi="Times New Roman" w:eastAsia="仿宋_GB2312" w:cs="Times New Roman"/>
          <w:bCs/>
          <w:sz w:val="32"/>
          <w:szCs w:val="32"/>
          <w:highlight w:val="none"/>
        </w:rPr>
        <w:t>学生力量，立足自身发展规划，聚焦国际交往和文化共鉴等主题，助力北京国际交往中心建设，为首都创新创业高质量发展提供青年学生</w:t>
      </w:r>
      <w:r>
        <w:rPr>
          <w:rFonts w:hint="default" w:ascii="Times New Roman" w:hAnsi="Times New Roman"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智慧支撑。</w:t>
      </w:r>
    </w:p>
    <w:p>
      <w:pPr>
        <w:adjustRightInd w:val="0"/>
        <w:snapToGrid w:val="0"/>
        <w:spacing w:line="560" w:lineRule="exact"/>
        <w:ind w:firstLine="57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、参赛对象</w:t>
      </w:r>
    </w:p>
    <w:p>
      <w:pPr>
        <w:adjustRightInd w:val="0"/>
        <w:snapToGrid w:val="0"/>
        <w:spacing w:line="560" w:lineRule="exact"/>
        <w:ind w:firstLine="643"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普通高校学生：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年6月1日以前正式注册的全日制非成人教育的各类普通高等学校在校专科生、本科生、硕士研究生（不含在职研究生）、留学生可参加。硕博连读生、直接攻读博士生若在20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6月1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30%。</w:t>
      </w:r>
    </w:p>
    <w:p>
      <w:pPr>
        <w:adjustRightInd w:val="0"/>
        <w:snapToGrid w:val="0"/>
        <w:spacing w:line="560" w:lineRule="exact"/>
        <w:ind w:firstLine="643"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职业院校学生：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年6月1日以前正式注册的全日制职业教育本科、高职高专和中职中专在校学生。</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lang w:val="en-US" w:eastAsia="zh-CN"/>
        </w:rPr>
        <w:t>注：参赛对象</w:t>
      </w:r>
      <w:r>
        <w:rPr>
          <w:rFonts w:hint="default" w:ascii="Times New Roman" w:hAnsi="Times New Roman" w:eastAsia="仿宋_GB2312" w:cs="Times New Roman"/>
          <w:b/>
          <w:bCs w:val="0"/>
          <w:sz w:val="32"/>
          <w:szCs w:val="32"/>
          <w:highlight w:val="none"/>
        </w:rPr>
        <w:t>以个人或团队形式参赛均可，每个团队不超过10人，指导教师不超过3名</w:t>
      </w:r>
      <w:r>
        <w:rPr>
          <w:rFonts w:hint="default" w:ascii="Times New Roman" w:hAnsi="Times New Roman" w:eastAsia="仿宋_GB2312" w:cs="Times New Roman"/>
          <w:b/>
          <w:bCs w:val="0"/>
          <w:sz w:val="32"/>
          <w:szCs w:val="32"/>
          <w:highlight w:val="none"/>
          <w:lang w:eastAsia="zh-CN"/>
        </w:rPr>
        <w:t>，</w:t>
      </w:r>
      <w:r>
        <w:rPr>
          <w:rFonts w:hint="default" w:ascii="Times New Roman" w:hAnsi="Times New Roman" w:eastAsia="仿宋_GB2312" w:cs="Times New Roman"/>
          <w:b/>
          <w:bCs w:val="0"/>
          <w:sz w:val="32"/>
          <w:szCs w:val="32"/>
          <w:highlight w:val="none"/>
        </w:rPr>
        <w:t>可以跨专业、跨校、跨地域组队，各成员须事先协商明确项目的申报单位（每件作品仅由1所高校推报）。</w:t>
      </w:r>
    </w:p>
    <w:p>
      <w:pPr>
        <w:adjustRightInd w:val="0"/>
        <w:snapToGrid w:val="0"/>
        <w:spacing w:line="560" w:lineRule="exact"/>
        <w:ind w:firstLine="57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、赛事内容</w:t>
      </w:r>
    </w:p>
    <w:p>
      <w:pPr>
        <w:adjustRightInd w:val="0"/>
        <w:snapToGrid w:val="0"/>
        <w:spacing w:line="560" w:lineRule="exact"/>
        <w:ind w:firstLine="57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“青系四海”</w:t>
      </w:r>
      <w:r>
        <w:rPr>
          <w:rFonts w:hint="default" w:ascii="Times New Roman" w:hAnsi="Times New Roman" w:eastAsia="仿宋_GB2312" w:cs="Times New Roman"/>
          <w:bCs/>
          <w:sz w:val="32"/>
          <w:szCs w:val="32"/>
          <w:highlight w:val="none"/>
          <w:lang w:val="en-US" w:eastAsia="zh-CN"/>
        </w:rPr>
        <w:t>国际交流交往</w:t>
      </w:r>
      <w:r>
        <w:rPr>
          <w:rFonts w:hint="default" w:ascii="Times New Roman" w:hAnsi="Times New Roman" w:eastAsia="仿宋_GB2312" w:cs="Times New Roman"/>
          <w:bCs/>
          <w:sz w:val="32"/>
          <w:szCs w:val="32"/>
          <w:highlight w:val="none"/>
        </w:rPr>
        <w:t>专项赛聚焦首都发展、国际交往和文化共鉴等多个主题，凝聚国</w:t>
      </w:r>
      <w:r>
        <w:rPr>
          <w:rFonts w:hint="default" w:ascii="Times New Roman" w:hAnsi="Times New Roman" w:eastAsia="仿宋_GB2312" w:cs="Times New Roman"/>
          <w:bCs/>
          <w:sz w:val="32"/>
          <w:szCs w:val="32"/>
          <w:highlight w:val="none"/>
          <w:lang w:val="en-US" w:eastAsia="zh-CN"/>
        </w:rPr>
        <w:t>内</w:t>
      </w:r>
      <w:r>
        <w:rPr>
          <w:rFonts w:hint="default" w:ascii="Times New Roman" w:hAnsi="Times New Roman" w:eastAsia="仿宋_GB2312" w:cs="Times New Roman"/>
          <w:bCs/>
          <w:sz w:val="32"/>
          <w:szCs w:val="32"/>
          <w:highlight w:val="none"/>
        </w:rPr>
        <w:t>外青年智慧和力量，形成发展合力，助力北京国际交往中心发展建设。</w:t>
      </w:r>
    </w:p>
    <w:p>
      <w:pPr>
        <w:adjustRightInd w:val="0"/>
        <w:snapToGrid w:val="0"/>
        <w:spacing w:line="560" w:lineRule="exact"/>
        <w:ind w:firstLine="643"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（一）聚焦首都</w:t>
      </w:r>
      <w:r>
        <w:rPr>
          <w:rFonts w:hint="default" w:ascii="Times New Roman" w:hAnsi="Times New Roman" w:eastAsia="仿宋_GB2312" w:cs="Times New Roman"/>
          <w:b/>
          <w:sz w:val="32"/>
          <w:szCs w:val="32"/>
          <w:highlight w:val="none"/>
          <w:lang w:val="en-US" w:eastAsia="zh-CN"/>
        </w:rPr>
        <w:t>高质量</w:t>
      </w:r>
      <w:r>
        <w:rPr>
          <w:rFonts w:hint="default" w:ascii="Times New Roman" w:hAnsi="Times New Roman" w:eastAsia="仿宋_GB2312" w:cs="Times New Roman"/>
          <w:b/>
          <w:sz w:val="32"/>
          <w:szCs w:val="32"/>
          <w:highlight w:val="none"/>
        </w:rPr>
        <w:t>发展</w:t>
      </w:r>
      <w:r>
        <w:rPr>
          <w:rFonts w:hint="default" w:ascii="Times New Roman" w:hAnsi="Times New Roman" w:eastAsia="仿宋_GB2312" w:cs="Times New Roman"/>
          <w:bCs/>
          <w:sz w:val="32"/>
          <w:szCs w:val="32"/>
          <w:highlight w:val="none"/>
        </w:rPr>
        <w:t>，以留学生的视角和专业背景为北京市的城市发展、社会治理和民生建设等提出具有创新性的商业项目</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为城市地标建设和超大型城市治理贡献青年思路</w:t>
      </w:r>
      <w:r>
        <w:rPr>
          <w:rFonts w:hint="default" w:ascii="Times New Roman" w:hAnsi="Times New Roman" w:eastAsia="仿宋_GB2312" w:cs="Times New Roman"/>
          <w:bCs/>
          <w:sz w:val="32"/>
          <w:szCs w:val="32"/>
          <w:highlight w:val="none"/>
        </w:rPr>
        <w:t>；</w:t>
      </w:r>
    </w:p>
    <w:p>
      <w:pPr>
        <w:adjustRightInd w:val="0"/>
        <w:snapToGrid w:val="0"/>
        <w:spacing w:line="560" w:lineRule="exact"/>
        <w:ind w:firstLine="643"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（二）聚焦国际</w:t>
      </w:r>
      <w:r>
        <w:rPr>
          <w:rFonts w:hint="default" w:ascii="Times New Roman" w:hAnsi="Times New Roman" w:eastAsia="仿宋_GB2312" w:cs="Times New Roman"/>
          <w:b/>
          <w:sz w:val="32"/>
          <w:szCs w:val="32"/>
          <w:highlight w:val="none"/>
          <w:lang w:val="en-US" w:eastAsia="zh-CN"/>
        </w:rPr>
        <w:t>经贸共建</w:t>
      </w:r>
      <w:r>
        <w:rPr>
          <w:rFonts w:hint="default" w:ascii="Times New Roman" w:hAnsi="Times New Roman" w:eastAsia="仿宋_GB2312" w:cs="Times New Roman"/>
          <w:bCs/>
          <w:sz w:val="32"/>
          <w:szCs w:val="32"/>
          <w:highlight w:val="none"/>
        </w:rPr>
        <w:t>，鼓励</w:t>
      </w:r>
      <w:r>
        <w:rPr>
          <w:rFonts w:hint="default" w:ascii="Times New Roman" w:hAnsi="Times New Roman" w:eastAsia="仿宋_GB2312" w:cs="Times New Roman"/>
          <w:bCs/>
          <w:sz w:val="32"/>
          <w:szCs w:val="32"/>
          <w:highlight w:val="none"/>
          <w:lang w:val="en-US" w:eastAsia="zh-CN"/>
        </w:rPr>
        <w:t>青年</w:t>
      </w:r>
      <w:r>
        <w:rPr>
          <w:rFonts w:hint="default" w:ascii="Times New Roman" w:hAnsi="Times New Roman" w:eastAsia="仿宋_GB2312" w:cs="Times New Roman"/>
          <w:bCs/>
          <w:sz w:val="32"/>
          <w:szCs w:val="32"/>
          <w:highlight w:val="none"/>
        </w:rPr>
        <w:t>学生积极发挥中外交流的</w:t>
      </w:r>
      <w:r>
        <w:rPr>
          <w:rFonts w:hint="default" w:ascii="Times New Roman" w:hAnsi="Times New Roman" w:eastAsia="仿宋_GB2312" w:cs="Times New Roman"/>
          <w:bCs/>
          <w:sz w:val="32"/>
          <w:szCs w:val="32"/>
          <w:highlight w:val="none"/>
          <w:lang w:val="en-US" w:eastAsia="zh-CN"/>
        </w:rPr>
        <w:t>主体</w:t>
      </w:r>
      <w:r>
        <w:rPr>
          <w:rFonts w:hint="default" w:ascii="Times New Roman" w:hAnsi="Times New Roman" w:eastAsia="仿宋_GB2312" w:cs="Times New Roman"/>
          <w:bCs/>
          <w:sz w:val="32"/>
          <w:szCs w:val="32"/>
          <w:highlight w:val="none"/>
        </w:rPr>
        <w:t>作用，从共建</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一带一路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加强</w:t>
      </w:r>
      <w:r>
        <w:rPr>
          <w:rFonts w:hint="default" w:ascii="Times New Roman" w:hAnsi="Times New Roman" w:eastAsia="仿宋_GB2312" w:cs="Times New Roman"/>
          <w:bCs/>
          <w:sz w:val="32"/>
          <w:szCs w:val="32"/>
          <w:highlight w:val="none"/>
          <w:lang w:val="en-US" w:eastAsia="zh-CN"/>
        </w:rPr>
        <w:t>区域合作发展</w:t>
      </w:r>
      <w:r>
        <w:rPr>
          <w:rFonts w:hint="default" w:ascii="Times New Roman" w:hAnsi="Times New Roman" w:eastAsia="仿宋_GB2312" w:cs="Times New Roman"/>
          <w:bCs/>
          <w:sz w:val="32"/>
          <w:szCs w:val="32"/>
          <w:highlight w:val="none"/>
        </w:rPr>
        <w:t>等角度出发，提出以中外交流、商业贸易、协同发展等为基本内容的商业项目；</w:t>
      </w:r>
    </w:p>
    <w:p>
      <w:pPr>
        <w:adjustRightInd w:val="0"/>
        <w:snapToGrid w:val="0"/>
        <w:spacing w:line="560" w:lineRule="exact"/>
        <w:ind w:firstLine="643"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（三）聚焦</w:t>
      </w:r>
      <w:r>
        <w:rPr>
          <w:rFonts w:hint="default" w:ascii="Times New Roman" w:hAnsi="Times New Roman" w:eastAsia="仿宋_GB2312" w:cs="Times New Roman"/>
          <w:b/>
          <w:sz w:val="32"/>
          <w:szCs w:val="32"/>
          <w:highlight w:val="none"/>
          <w:lang w:val="en-US" w:eastAsia="zh-CN"/>
        </w:rPr>
        <w:t>中外</w:t>
      </w:r>
      <w:r>
        <w:rPr>
          <w:rFonts w:hint="default" w:ascii="Times New Roman" w:hAnsi="Times New Roman" w:eastAsia="仿宋_GB2312" w:cs="Times New Roman"/>
          <w:b/>
          <w:sz w:val="32"/>
          <w:szCs w:val="32"/>
          <w:highlight w:val="none"/>
        </w:rPr>
        <w:t>文化共鉴</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鼓励青年学生</w:t>
      </w:r>
      <w:r>
        <w:rPr>
          <w:rFonts w:hint="default" w:ascii="Times New Roman" w:hAnsi="Times New Roman" w:eastAsia="仿宋_GB2312" w:cs="Times New Roman"/>
          <w:bCs/>
          <w:sz w:val="32"/>
          <w:szCs w:val="32"/>
          <w:highlight w:val="none"/>
        </w:rPr>
        <w:t>以加强中外文化交流和文化理解</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促进各国青年感受中华文化之美</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营造文化交流共鉴氛围为</w:t>
      </w:r>
      <w:r>
        <w:rPr>
          <w:rFonts w:hint="default" w:ascii="Times New Roman" w:hAnsi="Times New Roman" w:eastAsia="仿宋_GB2312" w:cs="Times New Roman"/>
          <w:bCs/>
          <w:sz w:val="32"/>
          <w:szCs w:val="32"/>
          <w:highlight w:val="none"/>
        </w:rPr>
        <w:t>目的，</w:t>
      </w:r>
      <w:r>
        <w:rPr>
          <w:rFonts w:hint="default" w:ascii="Times New Roman" w:hAnsi="Times New Roman" w:eastAsia="仿宋_GB2312" w:cs="Times New Roman"/>
          <w:bCs/>
          <w:sz w:val="32"/>
          <w:szCs w:val="32"/>
          <w:highlight w:val="none"/>
          <w:lang w:val="en-US" w:eastAsia="zh-CN"/>
        </w:rPr>
        <w:t>开发</w:t>
      </w:r>
      <w:r>
        <w:rPr>
          <w:rFonts w:hint="default" w:ascii="Times New Roman" w:hAnsi="Times New Roman" w:eastAsia="仿宋_GB2312" w:cs="Times New Roman"/>
          <w:bCs/>
          <w:sz w:val="32"/>
          <w:szCs w:val="32"/>
          <w:highlight w:val="none"/>
        </w:rPr>
        <w:t>具有</w:t>
      </w:r>
      <w:r>
        <w:rPr>
          <w:rFonts w:hint="default" w:ascii="Times New Roman" w:hAnsi="Times New Roman" w:eastAsia="仿宋_GB2312" w:cs="Times New Roman"/>
          <w:bCs/>
          <w:sz w:val="32"/>
          <w:szCs w:val="32"/>
          <w:highlight w:val="none"/>
          <w:lang w:val="en-US" w:eastAsia="zh-CN"/>
        </w:rPr>
        <w:t>较强创新性和</w:t>
      </w:r>
      <w:r>
        <w:rPr>
          <w:rFonts w:hint="default" w:ascii="Times New Roman" w:hAnsi="Times New Roman" w:eastAsia="仿宋_GB2312" w:cs="Times New Roman"/>
          <w:bCs/>
          <w:sz w:val="32"/>
          <w:szCs w:val="32"/>
          <w:highlight w:val="none"/>
        </w:rPr>
        <w:t>广泛吸引力的商业项目；</w:t>
      </w:r>
    </w:p>
    <w:p>
      <w:pPr>
        <w:adjustRightInd w:val="0"/>
        <w:snapToGrid w:val="0"/>
        <w:spacing w:line="560" w:lineRule="exact"/>
        <w:ind w:firstLine="643" w:firstLineChars="200"/>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rPr>
        <w:t>（四）</w:t>
      </w:r>
      <w:r>
        <w:rPr>
          <w:rFonts w:hint="default" w:ascii="Times New Roman" w:hAnsi="Times New Roman" w:eastAsia="仿宋_GB2312" w:cs="Times New Roman"/>
          <w:b/>
          <w:sz w:val="32"/>
          <w:szCs w:val="32"/>
          <w:highlight w:val="none"/>
          <w:lang w:val="en-US" w:eastAsia="zh-CN"/>
        </w:rPr>
        <w:t>聚焦青年交流交往，</w:t>
      </w:r>
      <w:r>
        <w:rPr>
          <w:rFonts w:hint="default" w:ascii="Times New Roman" w:hAnsi="Times New Roman" w:eastAsia="仿宋_GB2312" w:cs="Times New Roman"/>
          <w:b w:val="0"/>
          <w:bCs/>
          <w:sz w:val="32"/>
          <w:szCs w:val="32"/>
          <w:highlight w:val="none"/>
          <w:lang w:val="en-US" w:eastAsia="zh-CN"/>
        </w:rPr>
        <w:t>鼓励青年学生积极</w:t>
      </w:r>
      <w:r>
        <w:rPr>
          <w:rFonts w:hint="default" w:ascii="Times New Roman" w:hAnsi="Times New Roman" w:eastAsia="仿宋_GB2312" w:cs="Times New Roman"/>
          <w:sz w:val="32"/>
          <w:szCs w:val="32"/>
          <w:highlight w:val="none"/>
          <w:lang w:val="en-US" w:eastAsia="zh-CN"/>
        </w:rPr>
        <w:t>发挥</w:t>
      </w:r>
      <w:r>
        <w:rPr>
          <w:rFonts w:hint="default" w:ascii="Times New Roman" w:hAnsi="Times New Roman" w:eastAsia="仿宋_GB2312" w:cs="Times New Roman"/>
          <w:bCs/>
          <w:sz w:val="32"/>
          <w:szCs w:val="32"/>
          <w:highlight w:val="none"/>
        </w:rPr>
        <w:t>在中外交往中的促进作用</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开发帮助中外青年在互学互鉴中增进了解、收获友谊、共同成长，</w:t>
      </w:r>
      <w:r>
        <w:rPr>
          <w:rFonts w:hint="eastAsia" w:ascii="Times New Roman" w:hAnsi="Times New Roman" w:eastAsia="仿宋_GB2312" w:cs="Times New Roman"/>
          <w:bCs/>
          <w:sz w:val="32"/>
          <w:szCs w:val="32"/>
          <w:highlight w:val="none"/>
          <w:lang w:val="en-US" w:eastAsia="zh-CN"/>
        </w:rPr>
        <w:t>以及</w:t>
      </w:r>
      <w:r>
        <w:rPr>
          <w:rFonts w:hint="default" w:ascii="Times New Roman" w:hAnsi="Times New Roman" w:eastAsia="仿宋_GB2312" w:cs="Times New Roman"/>
          <w:bCs/>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推动构建人类命运共同体与</w:t>
      </w:r>
      <w:r>
        <w:rPr>
          <w:rFonts w:hint="default" w:ascii="Times New Roman" w:hAnsi="Times New Roman" w:eastAsia="仿宋_GB2312" w:cs="Times New Roman"/>
          <w:bCs/>
          <w:sz w:val="32"/>
          <w:szCs w:val="32"/>
          <w:highlight w:val="none"/>
          <w:lang w:val="en-US" w:eastAsia="zh-CN"/>
        </w:rPr>
        <w:t>促进世界和平发展贡献力量的商业项目。</w:t>
      </w:r>
    </w:p>
    <w:p>
      <w:pPr>
        <w:adjustRightInd w:val="0"/>
        <w:snapToGrid w:val="0"/>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赛事</w:t>
      </w:r>
      <w:r>
        <w:rPr>
          <w:rFonts w:hint="default" w:ascii="Times New Roman" w:hAnsi="Times New Roman" w:eastAsia="黑体" w:cs="Times New Roman"/>
          <w:sz w:val="32"/>
          <w:szCs w:val="32"/>
          <w:highlight w:val="none"/>
          <w:lang w:val="en-US" w:eastAsia="zh-CN"/>
        </w:rPr>
        <w:t>进度</w:t>
      </w:r>
      <w:r>
        <w:rPr>
          <w:rFonts w:hint="default" w:ascii="Times New Roman" w:hAnsi="Times New Roman" w:eastAsia="黑体" w:cs="Times New Roman"/>
          <w:sz w:val="32"/>
          <w:szCs w:val="32"/>
          <w:highlight w:val="none"/>
        </w:rPr>
        <w:t>安排</w:t>
      </w:r>
    </w:p>
    <w:p>
      <w:pPr>
        <w:keepNext w:val="0"/>
        <w:keepLines w:val="0"/>
        <w:pageBreakBefore w:val="0"/>
        <w:widowControl w:val="0"/>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highlight w:val="none"/>
          <w:lang w:val="en-US" w:eastAsia="zh-CN" w:bidi="ar"/>
        </w:rPr>
      </w:pPr>
      <w:r>
        <w:rPr>
          <w:rFonts w:hint="default" w:ascii="Times New Roman" w:hAnsi="Times New Roman" w:eastAsia="楷体_GB2312" w:cs="Times New Roman"/>
          <w:b/>
          <w:sz w:val="32"/>
          <w:szCs w:val="32"/>
          <w:highlight w:val="none"/>
          <w:lang w:val="en-US" w:eastAsia="zh-CN" w:bidi="ar"/>
        </w:rPr>
        <w:t>（一）组织申报阶段（2024年5月9日前）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各高校完成校内遴选、资格审查、推荐参赛及材料报送等工作，并于推荐前将作品名称、参赛学生和指导教师等关键信息在学校官方网站主页上进行不少于3天的公示。每个学校推荐</w:t>
      </w:r>
      <w:r>
        <w:rPr>
          <w:rFonts w:hint="default" w:ascii="Times New Roman" w:hAnsi="Times New Roman" w:eastAsia="仿宋_GB2312" w:cs="Times New Roman"/>
          <w:sz w:val="32"/>
          <w:szCs w:val="32"/>
          <w:highlight w:val="none"/>
          <w:lang w:val="en-US" w:eastAsia="zh-CN"/>
        </w:rPr>
        <w:t>不多于10个项目，</w:t>
      </w:r>
      <w:r>
        <w:rPr>
          <w:rFonts w:hint="default" w:ascii="Times New Roman" w:hAnsi="Times New Roman" w:eastAsia="仿宋_GB2312" w:cs="Times New Roman"/>
          <w:color w:val="auto"/>
          <w:sz w:val="32"/>
          <w:szCs w:val="32"/>
          <w:highlight w:val="none"/>
          <w:lang w:val="en-US" w:eastAsia="zh-CN"/>
        </w:rPr>
        <w:t>需同步将推荐项目汇总表和公示截图随作品一同上传系统。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注：所有作品需做好匿名处理工作，保证作品和附加材料中不能出现如作者姓名、指导教师姓名、所在学校名称及相关标志性景色、logo等信息。</w:t>
      </w:r>
    </w:p>
    <w:p>
      <w:pPr>
        <w:keepNext w:val="0"/>
        <w:keepLines w:val="0"/>
        <w:pageBreakBefore w:val="0"/>
        <w:widowControl w:val="0"/>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highlight w:val="none"/>
          <w:lang w:val="en-US" w:eastAsia="zh-CN" w:bidi="ar"/>
        </w:rPr>
      </w:pPr>
      <w:r>
        <w:rPr>
          <w:rFonts w:hint="default" w:ascii="Times New Roman" w:hAnsi="Times New Roman" w:eastAsia="楷体_GB2312" w:cs="Times New Roman"/>
          <w:b/>
          <w:sz w:val="32"/>
          <w:szCs w:val="32"/>
          <w:highlight w:val="none"/>
          <w:lang w:val="en-US" w:eastAsia="zh-CN" w:bidi="ar"/>
        </w:rPr>
        <w:t>（二）网络评审阶段（2024年5月中旬—5月下旬）</w:t>
      </w:r>
    </w:p>
    <w:p>
      <w:pPr>
        <w:keepNext w:val="0"/>
        <w:keepLines w:val="0"/>
        <w:pageBreakBefore w:val="0"/>
        <w:widowControl w:val="0"/>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竞赛组织委员会进行资格审查，并组织资深学者、知名企业家、行业专家组成专家评审委员会，通过网络平台对各学校推荐项目进行评审，评选出本届竞赛铜奖和银奖，并公布入围终评答辩的作品名单，本届竞赛金奖将通过终评答辩产生。</w:t>
      </w:r>
    </w:p>
    <w:p>
      <w:pPr>
        <w:keepNext w:val="0"/>
        <w:keepLines w:val="0"/>
        <w:pageBreakBefore w:val="0"/>
        <w:widowControl w:val="0"/>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highlight w:val="none"/>
          <w:lang w:val="en-US" w:eastAsia="zh-CN" w:bidi="ar"/>
        </w:rPr>
      </w:pPr>
      <w:r>
        <w:rPr>
          <w:rFonts w:hint="default" w:ascii="Times New Roman" w:hAnsi="Times New Roman" w:eastAsia="楷体_GB2312" w:cs="Times New Roman"/>
          <w:b/>
          <w:sz w:val="32"/>
          <w:szCs w:val="32"/>
          <w:highlight w:val="none"/>
          <w:lang w:val="en-US" w:eastAsia="zh-CN" w:bidi="ar"/>
        </w:rPr>
        <w:t>（三）终评答辩阶段（2024年</w:t>
      </w:r>
      <w:r>
        <w:rPr>
          <w:rFonts w:hint="eastAsia" w:ascii="Times New Roman" w:hAnsi="Times New Roman" w:eastAsia="楷体_GB2312" w:cs="Times New Roman"/>
          <w:b/>
          <w:sz w:val="32"/>
          <w:szCs w:val="32"/>
          <w:highlight w:val="none"/>
          <w:lang w:val="en-US" w:eastAsia="zh-CN" w:bidi="ar"/>
        </w:rPr>
        <w:t>5月</w:t>
      </w:r>
      <w:r>
        <w:rPr>
          <w:rFonts w:hint="default" w:ascii="Times New Roman" w:hAnsi="Times New Roman" w:eastAsia="楷体_GB2312" w:cs="Times New Roman"/>
          <w:b/>
          <w:sz w:val="32"/>
          <w:szCs w:val="32"/>
          <w:highlight w:val="none"/>
          <w:lang w:val="en-US" w:eastAsia="zh-CN" w:bidi="ar"/>
        </w:rPr>
        <w:t>下旬—6月上旬）</w:t>
      </w:r>
    </w:p>
    <w:p>
      <w:pPr>
        <w:keepNext w:val="0"/>
        <w:keepLines w:val="0"/>
        <w:pageBreakBefore w:val="0"/>
        <w:widowControl w:val="0"/>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竞赛组织委员会将组织终评答辩，专家评审委员会通过线下现场答辩，评选出金奖作品。</w:t>
      </w:r>
    </w:p>
    <w:p>
      <w:pPr>
        <w:keepNext w:val="0"/>
        <w:keepLines w:val="0"/>
        <w:pageBreakBefore w:val="0"/>
        <w:widowControl w:val="0"/>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sz w:val="32"/>
          <w:szCs w:val="32"/>
          <w:highlight w:val="none"/>
          <w:lang w:val="en-US" w:eastAsia="zh-CN" w:bidi="ar"/>
        </w:rPr>
      </w:pPr>
      <w:r>
        <w:rPr>
          <w:rFonts w:hint="default" w:ascii="Times New Roman" w:hAnsi="Times New Roman" w:eastAsia="楷体_GB2312" w:cs="Times New Roman"/>
          <w:b/>
          <w:sz w:val="32"/>
          <w:szCs w:val="32"/>
          <w:highlight w:val="none"/>
          <w:lang w:val="en-US" w:eastAsia="zh-CN" w:bidi="ar"/>
        </w:rPr>
        <w:t>（四）总结表彰阶段（2024年6月中旬）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依据工作情况和评审结果，开展总结表彰工作。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、奖项设置</w:t>
      </w:r>
    </w:p>
    <w:p>
      <w:pPr>
        <w:adjustRightInd w:val="0"/>
        <w:snapToGrid w:val="0"/>
        <w:spacing w:line="560" w:lineRule="exact"/>
        <w:ind w:firstLine="57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rPr>
        <w:t>1.“青系四海”国际</w:t>
      </w:r>
      <w:r>
        <w:rPr>
          <w:rFonts w:hint="default" w:ascii="Times New Roman" w:hAnsi="Times New Roman" w:eastAsia="仿宋_GB2312" w:cs="Times New Roman"/>
          <w:bCs/>
          <w:sz w:val="32"/>
          <w:szCs w:val="32"/>
          <w:highlight w:val="none"/>
          <w:lang w:val="en-US" w:eastAsia="zh-CN"/>
        </w:rPr>
        <w:t>交流</w:t>
      </w:r>
      <w:r>
        <w:rPr>
          <w:rFonts w:hint="default" w:ascii="Times New Roman" w:hAnsi="Times New Roman" w:eastAsia="仿宋_GB2312" w:cs="Times New Roman"/>
          <w:bCs/>
          <w:sz w:val="32"/>
          <w:szCs w:val="32"/>
          <w:highlight w:val="none"/>
        </w:rPr>
        <w:t>交往专项赛</w:t>
      </w:r>
      <w:r>
        <w:rPr>
          <w:rFonts w:hint="default" w:ascii="Times New Roman" w:hAnsi="Times New Roman" w:eastAsia="仿宋_GB2312" w:cs="Times New Roman"/>
          <w:sz w:val="32"/>
          <w:szCs w:val="32"/>
          <w:highlight w:val="none"/>
          <w:lang w:bidi="ar"/>
        </w:rPr>
        <w:t>金奖、银奖、铜奖按照</w:t>
      </w:r>
      <w:r>
        <w:rPr>
          <w:rFonts w:hint="default" w:ascii="Times New Roman" w:hAnsi="Times New Roman" w:eastAsia="仿宋_GB2312" w:cs="Times New Roman"/>
          <w:sz w:val="32"/>
          <w:szCs w:val="32"/>
          <w:highlight w:val="none"/>
          <w:lang w:val="en-US" w:eastAsia="zh-CN" w:bidi="ar"/>
        </w:rPr>
        <w:t>项目总数的</w:t>
      </w:r>
      <w:r>
        <w:rPr>
          <w:rFonts w:hint="default" w:ascii="Times New Roman" w:hAnsi="Times New Roman" w:eastAsia="仿宋_GB2312" w:cs="Times New Roman"/>
          <w:sz w:val="32"/>
          <w:szCs w:val="32"/>
          <w:highlight w:val="none"/>
          <w:lang w:bidi="ar"/>
        </w:rPr>
        <w:t>10%、</w:t>
      </w:r>
      <w:r>
        <w:rPr>
          <w:rFonts w:hint="default" w:ascii="Times New Roman" w:hAnsi="Times New Roman" w:eastAsia="仿宋_GB2312" w:cs="Times New Roman"/>
          <w:sz w:val="32"/>
          <w:szCs w:val="32"/>
          <w:highlight w:val="none"/>
          <w:lang w:val="en-US" w:eastAsia="zh-CN" w:bidi="ar"/>
        </w:rPr>
        <w:t>15</w:t>
      </w:r>
      <w:r>
        <w:rPr>
          <w:rFonts w:hint="default" w:ascii="Times New Roman" w:hAnsi="Times New Roman" w:eastAsia="仿宋_GB2312" w:cs="Times New Roman"/>
          <w:sz w:val="32"/>
          <w:szCs w:val="32"/>
          <w:highlight w:val="none"/>
          <w:lang w:bidi="ar"/>
        </w:rPr>
        <w:t>%、</w:t>
      </w:r>
      <w:r>
        <w:rPr>
          <w:rFonts w:hint="default" w:ascii="Times New Roman" w:hAnsi="Times New Roman" w:eastAsia="仿宋_GB2312" w:cs="Times New Roman"/>
          <w:sz w:val="32"/>
          <w:szCs w:val="32"/>
          <w:highlight w:val="none"/>
          <w:lang w:val="en-US" w:eastAsia="zh-CN" w:bidi="ar"/>
        </w:rPr>
        <w:t>25</w:t>
      </w:r>
      <w:r>
        <w:rPr>
          <w:rFonts w:hint="default" w:ascii="Times New Roman" w:hAnsi="Times New Roman" w:eastAsia="仿宋_GB2312" w:cs="Times New Roman"/>
          <w:sz w:val="32"/>
          <w:szCs w:val="32"/>
          <w:highlight w:val="none"/>
          <w:lang w:bidi="ar"/>
        </w:rPr>
        <w:t>%比例评选产生，其余为淘汰作品。铜奖项目通过网络评审产生，金奖</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sz w:val="32"/>
          <w:szCs w:val="32"/>
          <w:highlight w:val="none"/>
          <w:lang w:bidi="ar"/>
        </w:rPr>
        <w:t>银奖项目通过网络评审和现场终评答辩产生。</w:t>
      </w:r>
      <w:r>
        <w:rPr>
          <w:rFonts w:hint="default" w:ascii="Times New Roman" w:hAnsi="Times New Roman" w:eastAsia="仿宋_GB2312" w:cs="Times New Roman"/>
          <w:b/>
          <w:bCs/>
          <w:sz w:val="32"/>
          <w:szCs w:val="32"/>
          <w:highlight w:val="none"/>
          <w:lang w:bidi="ar"/>
        </w:rPr>
        <w:t>（专项赛道项目获奖情况不计入“挑战杯”主赛道高校团体总分，相关金、银、铜奖项与主赛道具有同等表彰效力），普通高校和职业院校不作区分。</w:t>
      </w:r>
    </w:p>
    <w:p>
      <w:pPr>
        <w:adjustRightInd w:val="0"/>
        <w:snapToGrid w:val="0"/>
        <w:spacing w:line="560" w:lineRule="exact"/>
        <w:ind w:firstLine="57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2.各高校专项赛参与、获奖情况，将作为“优秀组织奖”</w:t>
      </w:r>
      <w:r>
        <w:rPr>
          <w:rFonts w:hint="eastAsia" w:ascii="Times New Roman" w:hAnsi="Times New Roman" w:eastAsia="仿宋_GB2312" w:cs="Times New Roman"/>
          <w:bCs/>
          <w:sz w:val="32"/>
          <w:szCs w:val="32"/>
          <w:highlight w:val="none"/>
          <w:lang w:val="en-US" w:eastAsia="zh-CN"/>
        </w:rPr>
        <w:t>评选</w:t>
      </w:r>
      <w:r>
        <w:rPr>
          <w:rFonts w:hint="default" w:ascii="Times New Roman" w:hAnsi="Times New Roman" w:eastAsia="仿宋_GB2312" w:cs="Times New Roman"/>
          <w:bCs/>
          <w:sz w:val="32"/>
          <w:szCs w:val="32"/>
          <w:highlight w:val="none"/>
        </w:rPr>
        <w:t>的重要参考依据。</w:t>
      </w:r>
    </w:p>
    <w:p>
      <w:pPr>
        <w:adjustRightInd w:val="0"/>
        <w:snapToGrid w:val="0"/>
        <w:spacing w:line="560" w:lineRule="exact"/>
        <w:ind w:firstLine="57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、工作要求</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（一）高度重视，广泛动员。</w:t>
      </w:r>
      <w:r>
        <w:rPr>
          <w:rFonts w:hint="default" w:ascii="Times New Roman" w:hAnsi="Times New Roman" w:eastAsia="仿宋_GB2312" w:cs="Times New Roman"/>
          <w:bCs/>
          <w:sz w:val="32"/>
          <w:szCs w:val="32"/>
        </w:rPr>
        <w:t>各高校</w:t>
      </w:r>
      <w:r>
        <w:rPr>
          <w:rFonts w:hint="default" w:ascii="Times New Roman" w:hAnsi="Times New Roman" w:eastAsia="仿宋_GB2312" w:cs="Times New Roman"/>
          <w:bCs/>
          <w:sz w:val="32"/>
          <w:szCs w:val="32"/>
          <w:lang w:val="en-US" w:eastAsia="zh-CN"/>
        </w:rPr>
        <w:t>团委</w:t>
      </w:r>
      <w:r>
        <w:rPr>
          <w:rFonts w:hint="default" w:ascii="Times New Roman" w:hAnsi="Times New Roman" w:eastAsia="仿宋_GB2312" w:cs="Times New Roman"/>
          <w:bCs/>
          <w:sz w:val="32"/>
          <w:szCs w:val="32"/>
        </w:rPr>
        <w:t>要协同相关部门充分动员，鼓励广大学生积极参赛，提高</w:t>
      </w:r>
      <w:r>
        <w:rPr>
          <w:rFonts w:hint="default" w:ascii="Times New Roman" w:hAnsi="Times New Roman" w:eastAsia="仿宋_GB2312" w:cs="Times New Roman"/>
          <w:bCs/>
          <w:sz w:val="32"/>
          <w:szCs w:val="32"/>
          <w:lang w:val="en-US" w:eastAsia="zh-CN"/>
        </w:rPr>
        <w:t>竞</w:t>
      </w:r>
      <w:r>
        <w:rPr>
          <w:rFonts w:hint="default" w:ascii="Times New Roman" w:hAnsi="Times New Roman" w:eastAsia="仿宋_GB2312" w:cs="Times New Roman"/>
          <w:bCs/>
          <w:sz w:val="32"/>
          <w:szCs w:val="32"/>
        </w:rPr>
        <w:t>赛覆盖面</w:t>
      </w:r>
      <w:r>
        <w:rPr>
          <w:rFonts w:hint="default" w:ascii="Times New Roman" w:hAnsi="Times New Roman" w:eastAsia="仿宋_GB2312" w:cs="Times New Roman"/>
          <w:bCs/>
          <w:sz w:val="32"/>
          <w:szCs w:val="32"/>
          <w:lang w:val="en-US" w:eastAsia="zh-CN"/>
        </w:rPr>
        <w:t>与参与度</w:t>
      </w:r>
      <w:r>
        <w:rPr>
          <w:rFonts w:hint="default" w:ascii="Times New Roman" w:hAnsi="Times New Roman" w:eastAsia="仿宋_GB2312" w:cs="Times New Roman"/>
          <w:bCs/>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（二）认真审核，做好把关。</w:t>
      </w:r>
      <w:r>
        <w:rPr>
          <w:rFonts w:hint="default" w:ascii="Times New Roman" w:hAnsi="Times New Roman" w:eastAsia="仿宋_GB2312" w:cs="Times New Roman"/>
          <w:bCs/>
          <w:sz w:val="32"/>
          <w:szCs w:val="32"/>
        </w:rPr>
        <w:t>参赛者需严格遵守赛事组委会的各项规定，</w:t>
      </w:r>
      <w:r>
        <w:rPr>
          <w:rFonts w:hint="default" w:ascii="Times New Roman" w:hAnsi="Times New Roman" w:eastAsia="仿宋_GB2312" w:cs="Times New Roman"/>
          <w:bCs/>
          <w:sz w:val="32"/>
          <w:szCs w:val="32"/>
          <w:lang w:val="en-US" w:eastAsia="zh-CN"/>
        </w:rPr>
        <w:t>各高校需切实做好对推荐作品内容的审核把关</w:t>
      </w:r>
      <w:r>
        <w:rPr>
          <w:rFonts w:hint="default" w:ascii="Times New Roman" w:hAnsi="Times New Roman" w:eastAsia="仿宋_GB2312" w:cs="Times New Roman"/>
          <w:bCs/>
          <w:sz w:val="32"/>
          <w:szCs w:val="32"/>
          <w:lang w:eastAsia="zh-CN"/>
        </w:rPr>
        <w:t>，确保作品内容政治正确、导向正确；确保作品的原创性，无版权问题</w:t>
      </w:r>
      <w:r>
        <w:rPr>
          <w:rFonts w:hint="default" w:ascii="Times New Roman" w:hAnsi="Times New Roman" w:eastAsia="仿宋_GB2312" w:cs="Times New Roman"/>
          <w:bCs/>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bCs w:val="0"/>
          <w:sz w:val="32"/>
          <w:szCs w:val="32"/>
        </w:rPr>
        <w:t>（三）提高站位，促进交流。</w:t>
      </w:r>
      <w:r>
        <w:rPr>
          <w:rFonts w:hint="default" w:ascii="Times New Roman" w:hAnsi="Times New Roman" w:eastAsia="仿宋_GB2312" w:cs="Times New Roman"/>
          <w:bCs/>
          <w:sz w:val="32"/>
          <w:szCs w:val="32"/>
        </w:rPr>
        <w:t>各</w:t>
      </w:r>
      <w:r>
        <w:rPr>
          <w:rFonts w:hint="default" w:ascii="Times New Roman" w:hAnsi="Times New Roman" w:eastAsia="仿宋_GB2312" w:cs="Times New Roman"/>
          <w:bCs/>
          <w:sz w:val="32"/>
          <w:szCs w:val="32"/>
          <w:lang w:val="en-US" w:eastAsia="zh-CN"/>
        </w:rPr>
        <w:t>高校团委</w:t>
      </w:r>
      <w:r>
        <w:rPr>
          <w:rFonts w:hint="default" w:ascii="Times New Roman" w:hAnsi="Times New Roman" w:eastAsia="仿宋_GB2312" w:cs="Times New Roman"/>
          <w:bCs/>
          <w:sz w:val="32"/>
          <w:szCs w:val="32"/>
        </w:rPr>
        <w:t>要以参加此次赛事为契机，</w:t>
      </w:r>
      <w:r>
        <w:rPr>
          <w:rFonts w:hint="default" w:ascii="Times New Roman" w:hAnsi="Times New Roman" w:eastAsia="仿宋_GB2312" w:cs="Times New Roman"/>
          <w:bCs/>
          <w:sz w:val="32"/>
          <w:szCs w:val="32"/>
          <w:lang w:val="en-US" w:eastAsia="zh-CN"/>
        </w:rPr>
        <w:t>积极创造交流、互动机会，</w:t>
      </w:r>
      <w:r>
        <w:rPr>
          <w:rFonts w:hint="default" w:ascii="Times New Roman" w:hAnsi="Times New Roman" w:eastAsia="仿宋_GB2312" w:cs="Times New Roman"/>
          <w:bCs/>
          <w:sz w:val="32"/>
          <w:szCs w:val="32"/>
        </w:rPr>
        <w:t>探索建立长</w:t>
      </w:r>
      <w:bookmarkStart w:id="0" w:name="_GoBack"/>
      <w:bookmarkEnd w:id="0"/>
      <w:r>
        <w:rPr>
          <w:rFonts w:hint="default" w:ascii="Times New Roman" w:hAnsi="Times New Roman" w:eastAsia="仿宋_GB2312" w:cs="Times New Roman"/>
          <w:bCs/>
          <w:sz w:val="32"/>
          <w:szCs w:val="32"/>
        </w:rPr>
        <w:t>效机制，进一步加强协同和沟通，形成共同促进首都创新创业</w:t>
      </w:r>
      <w:r>
        <w:rPr>
          <w:rFonts w:hint="default" w:ascii="Times New Roman" w:hAnsi="Times New Roman" w:eastAsia="仿宋_GB2312" w:cs="Times New Roman"/>
          <w:bCs/>
          <w:sz w:val="32"/>
          <w:szCs w:val="32"/>
          <w:lang w:val="en-US" w:eastAsia="zh-CN"/>
        </w:rPr>
        <w:t>工作</w:t>
      </w:r>
      <w:r>
        <w:rPr>
          <w:rFonts w:hint="default" w:ascii="Times New Roman" w:hAnsi="Times New Roman" w:eastAsia="仿宋_GB2312" w:cs="Times New Roman"/>
          <w:bCs/>
          <w:sz w:val="32"/>
          <w:szCs w:val="32"/>
        </w:rPr>
        <w:t>高质量发展</w:t>
      </w:r>
      <w:r>
        <w:rPr>
          <w:rFonts w:hint="default" w:ascii="Times New Roman" w:hAnsi="Times New Roman" w:eastAsia="仿宋_GB2312" w:cs="Times New Roman"/>
          <w:bCs/>
          <w:sz w:val="32"/>
          <w:szCs w:val="32"/>
          <w:lang w:val="en-US" w:eastAsia="zh-CN"/>
        </w:rPr>
        <w:t>的合力</w:t>
      </w:r>
      <w:r>
        <w:rPr>
          <w:rFonts w:hint="default" w:ascii="Times New Roman" w:hAnsi="Times New Roman" w:eastAsia="仿宋_GB2312" w:cs="Times New Roman"/>
          <w:bCs/>
          <w:sz w:val="32"/>
          <w:szCs w:val="32"/>
        </w:rPr>
        <w:t>。</w:t>
      </w:r>
    </w:p>
    <w:p>
      <w:pPr>
        <w:adjustRightInd w:val="0"/>
        <w:snapToGrid w:val="0"/>
        <w:spacing w:line="560" w:lineRule="exact"/>
        <w:ind w:firstLine="640" w:firstLineChars="200"/>
        <w:rPr>
          <w:rFonts w:hint="default" w:ascii="Times New Roman" w:hAnsi="Times New Roman" w:eastAsia="仿宋_GB2312" w:cs="Times New Roman"/>
          <w:bCs/>
          <w:sz w:val="32"/>
          <w:szCs w:val="32"/>
        </w:rPr>
      </w:pPr>
    </w:p>
    <w:p>
      <w:pPr>
        <w:adjustRightInd w:val="0"/>
        <w:snapToGrid w:val="0"/>
        <w:spacing w:line="560" w:lineRule="exact"/>
        <w:ind w:firstLine="640" w:firstLineChars="200"/>
        <w:rPr>
          <w:rFonts w:hint="default" w:ascii="Times New Roman" w:hAnsi="Times New Roman" w:eastAsia="仿宋_GB2312" w:cs="Times New Roman"/>
          <w:bCs/>
          <w:sz w:val="32"/>
          <w:szCs w:val="32"/>
        </w:rPr>
      </w:pPr>
    </w:p>
    <w:p>
      <w:pPr>
        <w:adjustRightInd w:val="0"/>
        <w:snapToGrid w:val="0"/>
        <w:spacing w:line="560" w:lineRule="exact"/>
        <w:ind w:firstLine="640" w:firstLineChars="200"/>
        <w:rPr>
          <w:rFonts w:hint="default" w:ascii="Times New Roman" w:hAnsi="Times New Roman" w:eastAsia="仿宋_GB2312" w:cs="Times New Roman"/>
          <w:bCs/>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联系人：</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val="en-US" w:eastAsia="zh-CN"/>
        </w:rPr>
        <w:t>北京团市委大学部  任何雨含</w:t>
      </w: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sz w:val="32"/>
          <w:szCs w:val="32"/>
          <w:lang w:val="en-US" w:eastAsia="zh-CN"/>
        </w:rPr>
        <w:t>55565751</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val="en-US" w:eastAsia="zh-CN"/>
        </w:rPr>
        <w:t>中央民族大学      蒙永翠</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_GB2312" w:cs="Times New Roman"/>
          <w:sz w:val="32"/>
          <w:szCs w:val="32"/>
          <w:lang w:val="en-US" w:eastAsia="zh-CN"/>
        </w:rPr>
        <w:t>68933656</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电子</w:t>
      </w:r>
      <w:r>
        <w:rPr>
          <w:rFonts w:hint="default" w:ascii="Times New Roman" w:hAnsi="Times New Roman" w:eastAsia="仿宋_GB2312" w:cs="Times New Roman"/>
          <w:bCs/>
          <w:sz w:val="32"/>
          <w:szCs w:val="32"/>
        </w:rPr>
        <w:t>邮箱：</w:t>
      </w:r>
      <w:r>
        <w:rPr>
          <w:rFonts w:hint="default" w:ascii="Times New Roman" w:hAnsi="Times New Roman" w:eastAsia="仿宋_GB2312" w:cs="Times New Roman"/>
          <w:bCs/>
          <w:color w:val="auto"/>
          <w:sz w:val="32"/>
          <w:szCs w:val="32"/>
          <w:u w:val="none"/>
        </w:rPr>
        <w:t>bjstzb202</w:t>
      </w:r>
      <w:r>
        <w:rPr>
          <w:rFonts w:hint="default" w:ascii="Times New Roman" w:hAnsi="Times New Roman" w:eastAsia="仿宋_GB2312" w:cs="Times New Roman"/>
          <w:bCs/>
          <w:color w:val="auto"/>
          <w:sz w:val="32"/>
          <w:szCs w:val="32"/>
          <w:u w:val="none"/>
          <w:lang w:val="en-US" w:eastAsia="zh-CN"/>
        </w:rPr>
        <w:t>4</w:t>
      </w:r>
      <w:r>
        <w:rPr>
          <w:rFonts w:hint="default" w:ascii="Times New Roman" w:hAnsi="Times New Roman" w:eastAsia="仿宋_GB2312" w:cs="Times New Roman"/>
          <w:bCs/>
          <w:color w:val="auto"/>
          <w:sz w:val="32"/>
          <w:szCs w:val="32"/>
          <w:u w:val="none"/>
        </w:rPr>
        <w:t>@163.com</w:t>
      </w:r>
    </w:p>
    <w:p>
      <w:pPr>
        <w:adjustRightInd w:val="0"/>
        <w:snapToGrid w:val="0"/>
        <w:spacing w:line="560" w:lineRule="exact"/>
        <w:jc w:val="right"/>
        <w:rPr>
          <w:rFonts w:hint="default" w:ascii="Times New Roman" w:hAnsi="Times New Roman" w:eastAsia="仿宋_GB2312" w:cs="Times New Roman"/>
          <w:b/>
          <w:bCs/>
          <w:sz w:val="32"/>
          <w:szCs w:val="30"/>
        </w:rPr>
      </w:pPr>
    </w:p>
    <w:p>
      <w:pPr>
        <w:adjustRightInd w:val="0"/>
        <w:snapToGrid w:val="0"/>
        <w:spacing w:line="560" w:lineRule="exact"/>
        <w:jc w:val="right"/>
        <w:rPr>
          <w:rFonts w:hint="default" w:ascii="Times New Roman" w:hAnsi="Times New Roman" w:eastAsia="仿宋_GB2312" w:cs="Times New Roman"/>
          <w:b/>
          <w:bCs/>
          <w:sz w:val="32"/>
          <w:szCs w:val="30"/>
        </w:rPr>
      </w:pPr>
    </w:p>
    <w:p>
      <w:pPr>
        <w:adjustRightInd w:val="0"/>
        <w:snapToGrid w:val="0"/>
        <w:spacing w:line="560" w:lineRule="exact"/>
        <w:jc w:val="right"/>
        <w:rPr>
          <w:rFonts w:hint="default" w:ascii="Times New Roman" w:hAnsi="Times New Roman" w:eastAsia="仿宋_GB2312" w:cs="Times New Roman"/>
          <w:b/>
          <w:bCs/>
          <w:sz w:val="32"/>
          <w:szCs w:val="30"/>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lang w:val="en-US" w:eastAsia="zh-CN"/>
        </w:rPr>
        <w:t xml:space="preserve">                       </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青创北京</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202</w:t>
      </w:r>
      <w:r>
        <w:rPr>
          <w:rFonts w:hint="default" w:ascii="Times New Roman" w:hAnsi="Times New Roman" w:eastAsia="仿宋_GB2312" w:cs="Times New Roman"/>
          <w:sz w:val="32"/>
          <w:szCs w:val="30"/>
          <w:lang w:val="en-US" w:eastAsia="zh-CN"/>
        </w:rPr>
        <w:t>4</w:t>
      </w:r>
      <w:r>
        <w:rPr>
          <w:rFonts w:hint="default" w:ascii="Times New Roman" w:hAnsi="Times New Roman" w:eastAsia="仿宋_GB2312" w:cs="Times New Roman"/>
          <w:sz w:val="32"/>
          <w:szCs w:val="30"/>
        </w:rPr>
        <w:t>年</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挑战杯</w:t>
      </w:r>
      <w:r>
        <w:rPr>
          <w:rFonts w:hint="default" w:ascii="Times New Roman" w:hAnsi="Times New Roman" w:eastAsia="仿宋_GB2312" w:cs="Times New Roman"/>
          <w:sz w:val="32"/>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首都大学生创业计划竞赛组委会</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sz w:val="32"/>
          <w:szCs w:val="30"/>
          <w:lang w:val="en-US" w:eastAsia="zh-CN"/>
        </w:rPr>
        <w:t xml:space="preserve">                          2024年4月2日</w:t>
      </w:r>
    </w:p>
    <w:p>
      <w:pPr>
        <w:spacing w:line="560" w:lineRule="exact"/>
        <w:rPr>
          <w:rFonts w:hint="default" w:ascii="Times New Roman" w:hAnsi="Times New Roman" w:eastAsia="仿宋_GB2312" w:cs="Times New Roman"/>
          <w:bCs/>
          <w:sz w:val="32"/>
          <w:szCs w:val="32"/>
        </w:rPr>
      </w:pPr>
    </w:p>
    <w:p>
      <w:pPr>
        <w:rPr>
          <w:rFonts w:hint="default" w:ascii="Times New Roman" w:hAnsi="Times New Roman" w:eastAsia="仿宋_GB2312" w:cs="Times New Roman"/>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TgwM2JkZmM0N2FjZDk0N2I5MmExYzFhYTQxNDgifQ=="/>
  </w:docVars>
  <w:rsids>
    <w:rsidRoot w:val="00A45A6A"/>
    <w:rsid w:val="00034023"/>
    <w:rsid w:val="00041542"/>
    <w:rsid w:val="000A1D36"/>
    <w:rsid w:val="000D7825"/>
    <w:rsid w:val="002E152B"/>
    <w:rsid w:val="00304D97"/>
    <w:rsid w:val="003A5E68"/>
    <w:rsid w:val="003D3A55"/>
    <w:rsid w:val="003E1D85"/>
    <w:rsid w:val="00425D04"/>
    <w:rsid w:val="00443449"/>
    <w:rsid w:val="00594763"/>
    <w:rsid w:val="005D6EE1"/>
    <w:rsid w:val="00623381"/>
    <w:rsid w:val="007816E0"/>
    <w:rsid w:val="007D050B"/>
    <w:rsid w:val="007F105E"/>
    <w:rsid w:val="00943CFF"/>
    <w:rsid w:val="00A1089C"/>
    <w:rsid w:val="00A45A6A"/>
    <w:rsid w:val="00AD4615"/>
    <w:rsid w:val="00B0059A"/>
    <w:rsid w:val="00B842BB"/>
    <w:rsid w:val="00BD2D0C"/>
    <w:rsid w:val="00C12750"/>
    <w:rsid w:val="00C36381"/>
    <w:rsid w:val="00C50E02"/>
    <w:rsid w:val="00C51071"/>
    <w:rsid w:val="00D33807"/>
    <w:rsid w:val="00D4196C"/>
    <w:rsid w:val="00DD00F9"/>
    <w:rsid w:val="00DF2B0D"/>
    <w:rsid w:val="00E0744F"/>
    <w:rsid w:val="00E65DB2"/>
    <w:rsid w:val="00ED745A"/>
    <w:rsid w:val="00EF3A95"/>
    <w:rsid w:val="00F0386D"/>
    <w:rsid w:val="00F06A26"/>
    <w:rsid w:val="00F21194"/>
    <w:rsid w:val="00FA2A8D"/>
    <w:rsid w:val="02B04EBD"/>
    <w:rsid w:val="03CD0481"/>
    <w:rsid w:val="049555F0"/>
    <w:rsid w:val="06F42F55"/>
    <w:rsid w:val="083066C0"/>
    <w:rsid w:val="0A7C72CD"/>
    <w:rsid w:val="0C4C3EA9"/>
    <w:rsid w:val="0D0B6D28"/>
    <w:rsid w:val="10B954B5"/>
    <w:rsid w:val="116A3975"/>
    <w:rsid w:val="1B9D53C0"/>
    <w:rsid w:val="1C24274C"/>
    <w:rsid w:val="242154BB"/>
    <w:rsid w:val="27534BFB"/>
    <w:rsid w:val="2B002E0B"/>
    <w:rsid w:val="2DA06A0C"/>
    <w:rsid w:val="2E1144C5"/>
    <w:rsid w:val="2FF33006"/>
    <w:rsid w:val="342C2FC9"/>
    <w:rsid w:val="39250143"/>
    <w:rsid w:val="3B6F4C0F"/>
    <w:rsid w:val="3BA22D4E"/>
    <w:rsid w:val="3F040C3C"/>
    <w:rsid w:val="3F244532"/>
    <w:rsid w:val="40944F63"/>
    <w:rsid w:val="43B738A7"/>
    <w:rsid w:val="48883FAF"/>
    <w:rsid w:val="4A2F47E9"/>
    <w:rsid w:val="4D5B3F4B"/>
    <w:rsid w:val="4E1A4CEE"/>
    <w:rsid w:val="4E672900"/>
    <w:rsid w:val="52D57DAE"/>
    <w:rsid w:val="552D1A7A"/>
    <w:rsid w:val="58C71A6A"/>
    <w:rsid w:val="59314E77"/>
    <w:rsid w:val="5E4636DE"/>
    <w:rsid w:val="5E9C0B12"/>
    <w:rsid w:val="65F74F51"/>
    <w:rsid w:val="68754D02"/>
    <w:rsid w:val="69026F56"/>
    <w:rsid w:val="6F743FC6"/>
    <w:rsid w:val="70A158DE"/>
    <w:rsid w:val="77DD5414"/>
    <w:rsid w:val="77F008AA"/>
    <w:rsid w:val="788D09E4"/>
    <w:rsid w:val="7B3D7962"/>
    <w:rsid w:val="7E705F50"/>
    <w:rsid w:val="DFFD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0"/>
    <w:pPr>
      <w:tabs>
        <w:tab w:val="center" w:pos="4153"/>
        <w:tab w:val="right" w:pos="8306"/>
      </w:tabs>
      <w:snapToGrid w:val="0"/>
      <w:jc w:val="left"/>
    </w:pPr>
    <w:rPr>
      <w:sz w:val="18"/>
      <w:szCs w:val="18"/>
    </w:rPr>
  </w:style>
  <w:style w:type="paragraph" w:styleId="3">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rPr>
      <w:rFonts w:asciiTheme="minorHAnsi" w:hAnsiTheme="minorHAnsi" w:eastAsiaTheme="minorEastAsia" w:cstheme="minorBidi"/>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autoRedefine/>
    <w:unhideWhenUsed/>
    <w:qFormat/>
    <w:uiPriority w:val="0"/>
    <w:rPr>
      <w:color w:val="954F72" w:themeColor="followedHyperlink"/>
      <w:u w:val="single"/>
      <w14:textFill>
        <w14:solidFill>
          <w14:schemeClr w14:val="folHlink"/>
        </w14:solidFill>
      </w14:textFill>
    </w:rPr>
  </w:style>
  <w:style w:type="character" w:styleId="8">
    <w:name w:val="Hyperlink"/>
    <w:basedOn w:val="6"/>
    <w:autoRedefine/>
    <w:unhideWhenUsed/>
    <w:qFormat/>
    <w:uiPriority w:val="0"/>
    <w:rPr>
      <w:color w:val="0563C1" w:themeColor="hyperlink"/>
      <w:u w:val="single"/>
      <w14:textFill>
        <w14:solidFill>
          <w14:schemeClr w14:val="hlink"/>
        </w14:solidFill>
      </w14:textFill>
    </w:rPr>
  </w:style>
  <w:style w:type="paragraph" w:customStyle="1" w:styleId="9">
    <w:name w:val="List Paragraph"/>
    <w:basedOn w:val="1"/>
    <w:autoRedefine/>
    <w:unhideWhenUsed/>
    <w:qFormat/>
    <w:uiPriority w:val="99"/>
    <w:pPr>
      <w:ind w:firstLine="420" w:firstLineChars="200"/>
    </w:pPr>
  </w:style>
  <w:style w:type="character" w:customStyle="1" w:styleId="10">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1">
    <w:name w:val="页脚 字符"/>
    <w:basedOn w:val="6"/>
    <w:link w:val="2"/>
    <w:autoRedefine/>
    <w:qFormat/>
    <w:uiPriority w:val="0"/>
    <w:rPr>
      <w:rFonts w:asciiTheme="minorHAnsi" w:hAnsiTheme="minorHAnsi" w:eastAsiaTheme="minorEastAsia" w:cstheme="minorBidi"/>
      <w:kern w:val="2"/>
      <w:sz w:val="18"/>
      <w:szCs w:val="18"/>
    </w:rPr>
  </w:style>
  <w:style w:type="paragraph" w:customStyle="1" w:styleId="1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Unresolved Mention"/>
    <w:basedOn w:val="6"/>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404</Words>
  <Characters>2303</Characters>
  <Lines>19</Lines>
  <Paragraphs>5</Paragraphs>
  <TotalTime>4</TotalTime>
  <ScaleCrop>false</ScaleCrop>
  <LinksUpToDate>false</LinksUpToDate>
  <CharactersWithSpaces>2702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2022-03-14T23:34:00Z</dcterms:created>
  <dc:creator>cnuzh</dc:creator>
  <cp:lastModifiedBy>吕佳</cp:lastModifiedBy>
  <cp:lastPrinted>2024-04-02T06:50:38Z</cp:lastPrinted>
  <dcterms:modified xsi:type="dcterms:W3CDTF">2024-04-02T07:30:25Z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1779EC0FD4EE4E06A4C89895DB548428_13</vt:lpwstr>
  </property>
</Properties>
</file>